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93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Tannenbaum Robyn</w:t>
              </w:r>
            </w:hyperlink>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Advanced Flower Capital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AFCG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60" w:type="dxa"/>
            <w:vAlign w:val="bottom"/>
            <w:gridSpan w:val="3"/>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40" w:type="dxa"/>
            <w:vAlign w:val="bottom"/>
            <w:tcBorders>
              <w:top w:val="single" w:sz="8" w:color="0000EE"/>
            </w:tcBorders>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80" w:type="dxa"/>
            <w:vAlign w:val="bottom"/>
            <w:vMerge w:val="restart"/>
          </w:tcPr>
          <w:p>
            <w:pPr>
              <w:ind w:left="2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44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477 S. ROSEMARY AVE.</w:t>
            </w:r>
          </w:p>
        </w:tc>
        <w:tc>
          <w:tcPr>
            <w:tcW w:w="1480" w:type="dxa"/>
            <w:vAlign w:val="bottom"/>
          </w:tcPr>
          <w:p>
            <w:pPr>
              <w:spacing w:after="0"/>
              <w:rPr>
                <w:sz w:val="23"/>
                <w:szCs w:val="23"/>
                <w:color w:val="auto"/>
              </w:rPr>
            </w:pPr>
          </w:p>
        </w:tc>
        <w:tc>
          <w:tcPr>
            <w:tcW w:w="27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03/31/2026</w:t>
            </w: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301</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945"/>
        <w:spacing w:after="0"/>
        <w:rPr>
          <w:sz w:val="20"/>
          <w:szCs w:val="20"/>
          <w:color w:val="auto"/>
        </w:rPr>
      </w:pPr>
      <w:r>
        <w:rPr>
          <w:rFonts w:ascii="Times New Roman" w:cs="Times New Roman" w:eastAsia="Times New Roman" w:hAnsi="Times New Roman"/>
          <w:sz w:val="17"/>
          <w:szCs w:val="17"/>
          <w:color w:val="0000FF"/>
        </w:rPr>
        <w:t>President and CIO</w:t>
      </w:r>
    </w:p>
    <w:p>
      <w:pPr>
        <w:spacing w:after="0" w:line="56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540" w:type="dxa"/>
            <w:vAlign w:val="bottom"/>
            <w:shd w:val="clear" w:color="auto" w:fill="9A9A9A"/>
          </w:tcPr>
          <w:p>
            <w:pPr>
              <w:spacing w:after="0"/>
              <w:rPr>
                <w:sz w:val="3"/>
                <w:szCs w:val="3"/>
                <w:color w:val="auto"/>
              </w:rPr>
            </w:pPr>
          </w:p>
        </w:tc>
        <w:tc>
          <w:tcPr>
            <w:tcW w:w="28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6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WEST PALM</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33401</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gridSpan w:val="8"/>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54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ind w:left="22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03/31/2026</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7,000</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w:t>
            </w: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225,907</w:t>
            </w:r>
          </w:p>
        </w:tc>
        <w:tc>
          <w:tcPr>
            <w:tcW w:w="28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6,426,175</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180,400</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2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and this report shall not be deemed an admission that the Reporting Person is the beneficial owner of the securities for purposes of Section 16 or for any other purpose.</w:t>
      </w:r>
    </w:p>
    <w:p>
      <w:pPr>
        <w:spacing w:after="0" w:line="7" w:lineRule="exact"/>
        <w:rPr>
          <w:rFonts w:ascii="Times New Roman" w:cs="Times New Roman" w:eastAsia="Times New Roman" w:hAnsi="Times New Roman"/>
          <w:sz w:val="13"/>
          <w:szCs w:val="13"/>
          <w:color w:val="008000"/>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Tannenbaum Family Foundation (formerly known as the Leonard M. Tannenbaum Foundation), for which the Reporting Person's spouse serves as the President. The Reporting Person disclaims beneficial ownership of the reported securities except to the extent of her pecuniary interest.</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Gabriel A. Katz,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04/01/2026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60" w:type="dxa"/>
            <w:vAlign w:val="bottom"/>
            <w:tcBorders>
              <w:top w:val="single" w:sz="8" w:color="auto"/>
            </w:tcBorders>
            <w:vMerge w:val="restart"/>
          </w:tcPr>
          <w:p>
            <w:pPr>
              <w:spacing w:after="0"/>
              <w:rPr>
                <w:sz w:val="7"/>
                <w:szCs w:val="7"/>
                <w:color w:val="auto"/>
              </w:rPr>
            </w:pP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60" w:type="dxa"/>
            <w:vAlign w:val="bottom"/>
            <w:tcBorders>
              <w:top w:val="single" w:sz="8" w:color="auto"/>
            </w:tcBorders>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2694" TargetMode="External"/><Relationship Id="rId14" Type="http://schemas.openxmlformats.org/officeDocument/2006/relationships/hyperlink" Target="http://www.sec.gov/cgi-bin/browse-edgar?action=getcompany&amp;CIK=0001822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2026-04-01T16:09:12Z</dcterms:created>
  <dcterms:modified xsi:type="dcterms:W3CDTF">2026-04-01T16:09:12Z</dcterms:modified>
</cp:coreProperties>
</file>